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8C489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0400" cy="6604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98" w:rsidRPr="008C489A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7798" w:rsidRPr="008C489A" w:rsidRDefault="004E7798" w:rsidP="004E77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ОБЩЕРОССИЙСКИЙ   ПРОФЕССИОНАЛЬНЫЙ СОЮЗ</w:t>
      </w:r>
    </w:p>
    <w:p w:rsidR="004E7798" w:rsidRPr="008C489A" w:rsidRDefault="004E7798" w:rsidP="004E779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РАБОТНИКОВ ЖИЗНЕОБЕСПЕЧЕНИЯ</w:t>
      </w: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</w:t>
      </w: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4E7798" w:rsidRPr="008C489A" w:rsidRDefault="004E7798" w:rsidP="004E7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7798" w:rsidTr="004E7798">
        <w:tc>
          <w:tcPr>
            <w:tcW w:w="4785" w:type="dxa"/>
          </w:tcPr>
          <w:p w:rsidR="004E7798" w:rsidRPr="004E7798" w:rsidRDefault="004E7798" w:rsidP="004E77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7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4E7798" w:rsidRPr="004E7798" w:rsidRDefault="004E7798" w:rsidP="004E779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7-3</w:t>
            </w:r>
          </w:p>
        </w:tc>
      </w:tr>
    </w:tbl>
    <w:p w:rsidR="004E7798" w:rsidRDefault="004E7798" w:rsidP="004E77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E7798" w:rsidRP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 отчете Центрального комитета</w:t>
      </w:r>
    </w:p>
    <w:p w:rsidR="004E7798" w:rsidRP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Общероссийского профессионального</w:t>
      </w:r>
    </w:p>
    <w:p w:rsidR="004E7798" w:rsidRP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союза работников жизнеобеспечения</w:t>
      </w:r>
    </w:p>
    <w:p w:rsidR="004E7798" w:rsidRP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 период с мая 2014 года по май 2019 года</w:t>
      </w:r>
    </w:p>
    <w:p w:rsid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proofErr w:type="gramStart"/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задачах</w:t>
      </w:r>
      <w:proofErr w:type="gramEnd"/>
      <w:r w:rsidRPr="004E77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Профсоюза до 2024 года</w:t>
      </w:r>
    </w:p>
    <w:p w:rsid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 Обсудив отчёт Центрального комитета Профсоюза жизнеобеспечения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7798">
        <w:rPr>
          <w:rFonts w:ascii="Times New Roman" w:hAnsi="Times New Roman" w:cs="Times New Roman"/>
          <w:sz w:val="28"/>
          <w:szCs w:val="28"/>
        </w:rPr>
        <w:t xml:space="preserve"> съезд Профсоюза отмечает, что деятельность профсоюзных организаций всех уровней и их выборных органов была направлена на реализацию задач определённых решениями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7798">
        <w:rPr>
          <w:rFonts w:ascii="Times New Roman" w:hAnsi="Times New Roman" w:cs="Times New Roman"/>
          <w:sz w:val="28"/>
          <w:szCs w:val="28"/>
        </w:rPr>
        <w:t xml:space="preserve"> съезда Профсоюза, Программными документами: ФНПР – «Достойный труд - основа благосостояния человека, развития страны», Профсоюза жизнеобеспечения – «Основные направления работы Общероссийского профсоюза работников жизнеобеспечения  на 2015-2019 годы», постановлениями пленумов ЦК Профсоюза, в которых программные задачи получили развитие и конкретизацию.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Выполняя Программу действий на 2015-2019гг., принятую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7798">
        <w:rPr>
          <w:rFonts w:ascii="Times New Roman" w:hAnsi="Times New Roman" w:cs="Times New Roman"/>
          <w:sz w:val="28"/>
          <w:szCs w:val="28"/>
        </w:rPr>
        <w:t xml:space="preserve"> пленумом ЦК Профсоюза, Центральный и территориальные комитеты Профсоюза направляли усилия на обеспечение в ходе реформирования объединяемых отраслей достойных условий труда, достойной заработной платы, занятости, надёжной системы социальных гарантий членам Профсоюза. 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Для достижения этих целей Профсоюз активизировал своё участие</w:t>
      </w:r>
      <w:r w:rsidR="00670F21">
        <w:rPr>
          <w:rFonts w:ascii="Times New Roman" w:hAnsi="Times New Roman" w:cs="Times New Roman"/>
          <w:sz w:val="28"/>
          <w:szCs w:val="28"/>
        </w:rPr>
        <w:t xml:space="preserve"> </w:t>
      </w:r>
      <w:r w:rsidRPr="004E7798">
        <w:rPr>
          <w:rFonts w:ascii="Times New Roman" w:hAnsi="Times New Roman" w:cs="Times New Roman"/>
          <w:sz w:val="28"/>
          <w:szCs w:val="28"/>
        </w:rPr>
        <w:t xml:space="preserve">в реформировании объединяемых отраслей, развивал социальный диалог с федеральными органами управления: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 xml:space="preserve">Минтрудом РФ, Минстроем РФ и Минтрансом РФ, с Экспертным советом Комитета по жилищной политике и жилищно-коммунальному хозяйству Государственной Думы РФ, Общественной палатой России, Советом по профессиональным квалификациям ЖКХ, с Государственной корпорацией – «Фонд содействия реформированию ЖКХ»,  Национальным центром общественного контроля в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сфере ЖКХ – «ЖКХ контроль», Российской трёхсторонней комиссией по регулированию социально-трудовых отношений, отраслевыми объединениями работодателей в сфере ЖКХ, лифтового хозяйства, городского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98">
        <w:rPr>
          <w:rFonts w:ascii="Times New Roman" w:hAnsi="Times New Roman" w:cs="Times New Roman"/>
          <w:sz w:val="28"/>
          <w:szCs w:val="28"/>
        </w:rPr>
        <w:t xml:space="preserve">Взаимодействуя с Минстроем РФ на основе «Соглашения о сотрудничестве» (2015г.), Профсоюз вносил предложения по принципиальным вопросам развития и финансирования ЖКХ, настаивал на инвентаризации основных фондов ЖКХ, совершенствовании законодательной и нормативной базы, включающих более 440 законов и НПА, не отвечающих современным требованиям, высказывал несогласие в связи с проведением кампании по сплошной ликвидации 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ГУПов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 xml:space="preserve"> и передачи этих организаций в концессию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>, о необходимости пересмотра порядка статистической отчётности, по недостаткам организации капитального ремонта жилья, учёта аварийности на объектах ЖКХ и др.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Убедившись, что прежнее руководство Минстроя РФ, несмотря на призыв депутатов Государственной Думы РФ, отказывается от социального диалога с Профсоюзом в решении важнейших проблем реформирования ЖКХ, Профсоюз обращался в Правительство РФ о смене руководства этого министерства.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98">
        <w:rPr>
          <w:rFonts w:ascii="Times New Roman" w:hAnsi="Times New Roman" w:cs="Times New Roman"/>
          <w:sz w:val="28"/>
          <w:szCs w:val="28"/>
        </w:rPr>
        <w:t>Реализуя Соглашение о сотрудничестве с ГК – «Фонд содействия реформированию ЖКХ» (</w:t>
      </w:r>
      <w:smartTag w:uri="urn:schemas-microsoft-com:office:smarttags" w:element="metricconverter">
        <w:smartTagPr>
          <w:attr w:name="ProductID" w:val="2018 г"/>
        </w:smartTagPr>
        <w:r w:rsidRPr="004E779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E7798">
        <w:rPr>
          <w:rFonts w:ascii="Times New Roman" w:hAnsi="Times New Roman" w:cs="Times New Roman"/>
          <w:sz w:val="28"/>
          <w:szCs w:val="28"/>
        </w:rPr>
        <w:t>.) в целях содействия реализации Государственной Программы «Цифровая экономика РФ», Профсоюз подготовил предложения по совершенствованию кадровой политики в ЖКХ, созданию новой системы подготовки и переподготовки кадров высшего и среднего специального образования в субъектах РФ, поддержанные Комиссией Общественной палаты РФ по территориальному развитию и местному самоуправлению (28.02.2019) и направлены в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Правительство РФ.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Дополнительным соглашением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отраслевому ОТС по ЖКХ и Соглашением о внесении изменений в ОТС по городскому наземному электротранспорту удалось повысить минимальные месячные тарифные ставки по оплате труда рабочего первого разряда до МРОТ, установленного федеральным законом.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Пять общероссийских ОТС стали основой для заключения и реализации 94 территориальных соглашений и 3568 коллективных договоров, более 60% которых проходит уведомительную регистрацию.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Наиболее успешно коллективно-договорная кампания организована в Московской городской (ПМР), Санкт – Петербургской - Ленинградской и Тюменской межрегиональных организациях, Краснодарской, Красноярской, Ставропольской, Хабаровской краевых, Нижегородской, Омской, Оренбургской, Челябинской и других областных организациях.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Численность работников, на которые распространяется действие коллективных договоров и ОТС превышает 1.5 млн. работников.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Решая проблемы стабилизации экономики ЖКХ и ГЭТ Профсоюз взаимодействовал с ФАС России в подготовке «Методических рекомендаций о правилах учёта в тарифах экономически обоснованных затрат на персонал, обусловленных ОТС». Позднее статус этого документа был изменён и проект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ФЗ «Об основах государственного регулирования цен (тарифов) внесён в Государственную Думу РФ.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При поддержке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>анкт – Петербургской - Ленинградской, Нижегородской, Красноярской Ставропольской территориальных организаций Профсоюз добивался рассмотрения важнейших проблем городского наземного электротранспорта на Президиуме Госсовета РФ «О комплексном развитии пассажирских перевозок в субъектах РФ» (</w:t>
      </w:r>
      <w:smartTag w:uri="urn:schemas-microsoft-com:office:smarttags" w:element="metricconverter">
        <w:smartTagPr>
          <w:attr w:name="ProductID" w:val="2017 г"/>
        </w:smartTagPr>
        <w:r w:rsidRPr="004E779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E7798">
        <w:rPr>
          <w:rFonts w:ascii="Times New Roman" w:hAnsi="Times New Roman" w:cs="Times New Roman"/>
          <w:sz w:val="28"/>
          <w:szCs w:val="28"/>
        </w:rPr>
        <w:t>., г. Ульяновск), по результатам которого принят и реализуется перечень поручений Президента РФ. Минтрансом РФ утверждён «Порядок определения начальной  (минимальной) цены контракта на услуги ГЭТ» и на этой основе осуществляется тарифное регулирование в организациях ГЭТ.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В правозащитной работе на первый план выдвинулась законотворческая деятельность, что нашло отражение в Обращениях к Генеральному Совету ФНПР и Председателю ФНПР М.В.Шмакову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,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7798">
        <w:rPr>
          <w:rFonts w:ascii="Times New Roman" w:hAnsi="Times New Roman" w:cs="Times New Roman"/>
          <w:sz w:val="28"/>
          <w:szCs w:val="28"/>
        </w:rPr>
        <w:t xml:space="preserve"> и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7798">
        <w:rPr>
          <w:rFonts w:ascii="Times New Roman" w:hAnsi="Times New Roman" w:cs="Times New Roman"/>
          <w:sz w:val="28"/>
          <w:szCs w:val="28"/>
        </w:rPr>
        <w:t xml:space="preserve"> пленумов ЦК Профсоюза, в которых определены направления совершенствования трудового законодательства, повышения мотивации профсоюзного членства (изменения ст.43 и 48 ТК РФ), восстановления утраченных прав профсоюзов, принятия соответствующего международному праву закона о забастовках, наделения профсоюзов правом законодательной инициативы и др.).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Профсоюз всемерно поддерживал действия ФНПР по повышению реальной заработной платы работников, установлению МРОТ на уровне прожиточного минимума. Добивался законодательного закрепления обязательного выполнения коллективных договоров и соглашений, усиления ответственности сторон за их выполнение.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ЦК и территориальные комитеты Профсоюза выражали протесты против повышения возраста выхода на пенсию, требовали пересмотреть пенсионное обеспечение чиновников и депутатов, ратифицировать основополагающие социальные конвенции МОТ, определяющие социальные гарантии трудящимся.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Несмотря на ограниченные возможности, территориальные организации ежегодно проводили около 1.5 тыс. проверок, из них более 200 совместных с органами прокуратуры и федеральной инспекции труда. ЦК Профсоюза оказывалась помощь в связи с реформированием унитарных предприятий, по заключению коллективных договоров и соглашений, рассмотрению обращений трудящихся, осуществлялась защита в судах, экспертиза трудовых договоров и др.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В отчётном периоде в состав Профсоюза вошли Крымская республиканская и Севастопольская городская организации. Профсоюз объединяет 77 территориальных организаций (20 республиканских, 9 краевых, 44 областных, 2 межрегиональных и 2 городских организаций), которые объединены в семь региональных Советов.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Большинство территориальных организаций проводили целенаправленную работу по сохранению и увеличению численности членов Профсоюза.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Наиболее активная организационная работа осуществлялась в Московской городской, Санкт – Петербургской - Ленинградской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межрегиональной, Ставропольской краевой, Воронежской областной организациях. Центральный и территориальные комитеты Профсоюза уделяли серьёзное внимание совершенствованию системы профсоюзного обучения. Ежегодно проводились семинары для профсоюзных кадров и актива, продолжилась практика их подготовки в высших учебных заведениях, в Академии труда и социальных отношений и её филиалах. Профсоюз настойчиво реализовывал задачу формирования кадрового резерва из молодых квалифицированных профсоюзных активистов. Молодёжный совет Профсоюза координировал работу молодёжных советов и комиссий территориальных организаций, проводились конкурсы «Молодёжный профсоюзный лидер», международные российско-норвежские семинары в Казани, Сочи и другие.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В коллективных действиях, первомайских шествиях, митингах в защиту прав трудящихся принимали участие свыше 400.0 тыс. членов Профсоюза из всех регионов России, проводились также собрания профактива с участием руководителей предприятий и представителей  органов исполнительной власти, направлялись обращения в адрес органов власти и отраслевого управления. 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Совершенствовалась информационная работа, осуществлялся регулярный выпуск электронного информационного бюллетеня Профсоюза, в территориальных организациях действуют 16 сайтов, расширено сотрудничество со СМИ и отраслевыми журналами.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В отчётном периоде силами уполномоченных по охране труда проверено более 60 тысяч проверок состояния охраны труда на объединяемых предприятиях. Техническими инспекторами проведено 2,5 тысячи проверок, свыше 70% которых проведено совместно с государственными надзорными органами. Их результаты рассматривались на президиумах и пленумах территориальных организаций, регулярно проводилось обучение руководителей и специалистов по охране труда.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Ежегодными стали смотры «На лучшую организацию работы по охране труда и культуре производства», «Лучшую профсоюзную организацию по охране труда», «Лучший уполномоченный по охране труда». 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ЦК Профсоюза добился, что 9 апреля 2019 года Приказом Минтруда РФ были внесены изменения в Методику проведения СОУТ по восстановлению льгот работников, в условиях воздействия биологического фактора.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ЦК Профсоюза проводилась систематическая работа по обучению профсоюзных кадров, осуществляющих финансовую работу, по разъяснению финансовой политики Профсоюза. Усилен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соблюдением уставных требований по уплате и перечислению членских взносов, что способствовало улучшению формирования профсоюзного бюджета, а также показателей полноты сбора и перечисления членских профсоюзных взносов в большинстве территориальных организаций. Были разработаны методические рекомендации и пособия, способствующие качественному осуществлению бухгалтерского учёта и отчётности.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Международная  работа Профсоюза осуществлялась в условиях глобального наступления международных корпораций на права профсоюзов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и трудящихся, проведения рядом зарубежных стран целенаправленной политики санкций и ограничений против России. Несмотря на это, Профсоюз развивал связи с родственными профсоюзами СНГ, международными объединениями ИОО и ЕФПОО, что способствовало укреплению международного сотрудничества, обмену опытом в защите прав трудящихся. Направлялись послания против преследований профсоюзов и профсоюзных активистов, сокращения сектора государственных услуг, в поддержку муниципальных/государственных служб водоснабжения и водоотведения. В рамках Соглашения о сотрудничестве с Норвежским профсоюзом «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Фагфорбундет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>» в 2014-2019 гг. осуществлялось обучение профактива, профсоюзной молодёжи.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 Несмотря на то, что Профсоюз жизнеобеспечения входит в десятку самых крупных профсоюзов России, а за отчётный период создано более 1.0 тыс. первичных профорганизаций, принято в члены Профсоюза свыше 210 тысяч человек, не удалось преодолеть тенденцию общего сокращения профсоюзного членства.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Негативное влияние на сокращение численности членов Профсоюза оказала не подкреплённая трудовым законодательством низкая мотивация профсоюзного членства, постоянные реорганизации предприятий, смена форм собственности и связанная с этим значительная текучесть кадров, давление работодателей на профсоюзные организации и случаи нарушения прав членов Профсоюза, нетипичные формы занятости, распространение негативной информации о неспособности профсоюзных организаций и их руководителей защитить права членов профсоюзов и др.</w:t>
      </w:r>
      <w:proofErr w:type="gramEnd"/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Устойчивое сокращение численности за последние пять лет сохранялось в таких территориальных организациях как Адыгейская (И.Н.Семёнова), Алтайская республиканская (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О.И.Бородина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>), Брянская (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Г.Н.Бредова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>), Вологодская (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Н.В.Зюзина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>), Калининградская (Е.Н.Кошевая), Кемеровская (Т.П.Селивёрстова).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Не удалось обеспечить существенное повышение среднемесячной заработной платы в ЖКХ и ГЭТ во многих субъектах РФ из-за того, что в территориальных ОТС и коллективных договорах не был обеспечен установленный общероссийскими ОТС уровень минимальных тарифных ставок по оплате труда. Остались проблемы неполной компенсации выпадающих доходов организаций ЖКХ и ГЭТ от предоставления льгот за услуги, не изжита практика установления экономически необоснованных тарифов.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Не изжиты негативные факты в ряде регионов, когда около 10% работников получают зарплату ниже прожиточного минимума. В связи с малочисленностью персонала около 16% составляют организации, где не заключаются коллективные договора.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В ряде территориальных организаций не выполняются решения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7798">
        <w:rPr>
          <w:rFonts w:ascii="Times New Roman" w:hAnsi="Times New Roman" w:cs="Times New Roman"/>
          <w:sz w:val="28"/>
          <w:szCs w:val="28"/>
        </w:rPr>
        <w:t xml:space="preserve"> съезда Профсоюза по размерам распределения членских профсоюзных взносов, значительная доля которых остаётся в первичных профорганизациях, что ослабляет бюджеты территориальных организаций и ЦК. Значительно ухудшили исполнение финансовых обязатель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ств Бр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янская,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Забайкальская, Калмыцкая, Хакасская, Московская областная территориальные организации.</w:t>
      </w:r>
    </w:p>
    <w:p w:rsid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Актуальными задачами Профсоюза в новый отчётный период остаются организационное и финансовое укрепление Профсоюза путём создания новых и сохранения действующих профсоюзных организаций, вовлечения в Профсоюз молодёжи, обеспечение достойной заработной платы и условий труда, стабильной занятости, социальных гарантий членам Профсоюза, эффективная защита их прав и социально-экономических интересов в современных условиях.</w:t>
      </w:r>
    </w:p>
    <w:p w:rsidR="00670F21" w:rsidRPr="00670F21" w:rsidRDefault="00670F21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98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</w:t>
      </w:r>
      <w:r w:rsidRPr="004E779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E7798">
        <w:rPr>
          <w:rFonts w:ascii="Times New Roman" w:hAnsi="Times New Roman" w:cs="Times New Roman"/>
          <w:b/>
          <w:sz w:val="28"/>
          <w:szCs w:val="28"/>
        </w:rPr>
        <w:t xml:space="preserve"> съезд Общероссийского профсоюза работников жизнеобеспечения </w:t>
      </w:r>
      <w:proofErr w:type="gramStart"/>
      <w:r w:rsidRPr="004E77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79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1. Признать работу Центрального комитета Профсоюза жизнеобеспечения за период с мая 2014 по май 2019 года </w:t>
      </w:r>
      <w:r w:rsidRPr="004E7798">
        <w:rPr>
          <w:rFonts w:ascii="Times New Roman" w:hAnsi="Times New Roman" w:cs="Times New Roman"/>
          <w:i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Отметить, что Центральный комитет оказал определённое влияние на ход реформирования объединяемых отраслей, направляя усилия на активизацию социального партнёрства и последовательно отстаивая интересы членов Профсоюза, что позволило улучшить условия оплаты труда, предоставления социальных гарантий, стабилизировать обстановку в трудовых коллективах.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2. Для выполнения уставных задач ЦК Профсоюза, Президиуму ЦК, региональным советом и территориальным комитетам Профсоюза необходимо: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- консолидировать усилия профсоюзных организаций всех уровней на реализации принципов достойного труда, выражая твёрдую приверженность избранному Х съездом ФНПР курсу борьбы за справедливое общество, где гарантировано право каждого на достойную жизнь и занятость, защиту от бедности,  профессиональное, культурное и духовное развитие;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- развивая социальный диалог и взаимодействие с органами законодательной и исполнительной власти всех уровней, федеральными работодателями, последовательно выступать за согласование всех сторон трудовых отношений в объединяемых отраслях в целях обеспечения стабильности и благосостояния трудящихся, социальной справедливости, предотвращения острых социальных конфликтов, преодоления последствий экономических санкций и вызовов;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98">
        <w:rPr>
          <w:rFonts w:ascii="Times New Roman" w:hAnsi="Times New Roman" w:cs="Times New Roman"/>
          <w:sz w:val="28"/>
          <w:szCs w:val="28"/>
        </w:rPr>
        <w:t xml:space="preserve">- сделать коллективные договора и соглашения эффективным инструментом согласования интересов всех сторон трудовых отношений для обеспечения условий достойного труда в объединяемых организациях, добиваться законодательного закрепления мотивации профсоюзного членства (ст.43 и 48 ТК РФ), безусловного выполнения принимаемых сторонами договорных обязательств, введения мер административной и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за нарушения этих нормативных правовых документов;</w:t>
      </w:r>
      <w:proofErr w:type="gramEnd"/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98">
        <w:rPr>
          <w:rFonts w:ascii="Times New Roman" w:hAnsi="Times New Roman" w:cs="Times New Roman"/>
          <w:sz w:val="28"/>
          <w:szCs w:val="28"/>
        </w:rPr>
        <w:t xml:space="preserve">- выражая солидарность с родственными профсоюзами и международными объединениями зарубежных стран бороться против необоснованного сокращения государственного сектора коммунальных услуг, против попыток федеральных чиновников ликвидировать 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ГУПы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 xml:space="preserve"> и передать в концессию важнейшие системы жизнеобеспечения населения: коммунальную энергетику, газоснабжение, водоснабжение и водоотведение, обратив особое внимание властей всех уровней на кризисное состояние этих систем в средних и малых городах и населённых пунктах, сельских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>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98">
        <w:rPr>
          <w:rFonts w:ascii="Times New Roman" w:hAnsi="Times New Roman" w:cs="Times New Roman"/>
          <w:sz w:val="28"/>
          <w:szCs w:val="28"/>
        </w:rPr>
        <w:t xml:space="preserve">- активно взаимодействовать с Общероссийским отраслевым объединением работодателей «ГЭТ», добиваясь государственной поддержки экологически чистого общественного наземного электротранспорта, реализации Рекомендаций Президиума Государственного Совета РФ «О комплексном развитии пассажирских перевозок в субъектах РФ» по установлению льготных тарифов на электроэнергию для организаций наземного электротранспорта, восстановлению отраслевой системы  подготовки и переподготовки кадров высшего и среднего звена для предприятий ГЭТ, формированию в </w:t>
      </w:r>
      <w:proofErr w:type="spellStart"/>
      <w:r w:rsidRPr="004E7798">
        <w:rPr>
          <w:rFonts w:ascii="Times New Roman" w:hAnsi="Times New Roman" w:cs="Times New Roman"/>
          <w:sz w:val="28"/>
          <w:szCs w:val="28"/>
        </w:rPr>
        <w:t>МИИТе</w:t>
      </w:r>
      <w:proofErr w:type="spellEnd"/>
      <w:r w:rsidRPr="004E7798">
        <w:rPr>
          <w:rFonts w:ascii="Times New Roman" w:hAnsi="Times New Roman" w:cs="Times New Roman"/>
          <w:sz w:val="28"/>
          <w:szCs w:val="28"/>
        </w:rPr>
        <w:t xml:space="preserve"> учебно-лабораторной, научно-исследовательской и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испытательной базы для организаций ГЭТ.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Продолжить взаимодействие с федеральными органами отраслевого управления ГК – Фонд содействия реформированию ЖКХ», Советом по профессиональным квалификациям ЖКХ, НП «ЖКХ контроль» в совершенствовании законодательной и нормативной базы осуществления кадровой политики в сфере ЖКХ в целях обеспечения конкурентоспособности специалистов и рабочих, в восстановлении и развитии отраслевой системы непрерывного обучения и подготовки кадров в ЖКХ, повышения качества образования;</w:t>
      </w:r>
      <w:proofErr w:type="gramEnd"/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798">
        <w:rPr>
          <w:rFonts w:ascii="Times New Roman" w:hAnsi="Times New Roman" w:cs="Times New Roman"/>
          <w:sz w:val="28"/>
          <w:szCs w:val="28"/>
        </w:rPr>
        <w:t>- приоритетной задачей должно стать организационное и финансовое укрепление Профсоюза, создание новых и сохранение действующих профсоюзных организаций на основе социального диалога с работодателями и их объединениями, распространение положительного опыта профсоюзного строительства, осуществление практических мер по формированию рациональной профсоюзной структуры, укрепление профсоюзной солидарности и единства, исполнительской и финансовой дисциплины, повышение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798">
        <w:rPr>
          <w:rFonts w:ascii="Times New Roman" w:hAnsi="Times New Roman" w:cs="Times New Roman"/>
          <w:sz w:val="28"/>
          <w:szCs w:val="28"/>
        </w:rPr>
        <w:t>руководителей профорганизаций за выполнение установленных финансовых обязательств, совершенствование системы финансового контроля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и повышение роли контрольно-ревизионных комиссий всех уровней;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- обеспечить защиту работников от профессиональных рисков, добиваться проведения регулярной оценки таких рисков,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их снижением и устранением, совершенствования систему СОУТ и нормативной правовой базы обеспечения безопасности труда, актуализации </w:t>
      </w:r>
      <w:r w:rsidRPr="004E7798">
        <w:rPr>
          <w:rFonts w:ascii="Times New Roman" w:hAnsi="Times New Roman" w:cs="Times New Roman"/>
          <w:sz w:val="28"/>
          <w:szCs w:val="28"/>
        </w:rPr>
        <w:lastRenderedPageBreak/>
        <w:t>методик оценки вредных и/или опасных факторов производственной среды, системы экономического стимулирования работодателей по улучшению условий труда и оздоровления работников;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- в целях повышения профессионализма и ответственности профсоюзных кадров и профактива развивать систему непрерывного обучения руководителей и членов выборных профсоюзных органов улучшить подготовку кадрового резерва, активнее использовать в этих целях потенциал молодёжи и молодёжных советов;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- настойчиво следовать принципам международной профсоюзной солидарности, сотрудничества и взаимодействия с зарубежными профсоюзами и близкими к профсоюзам профильными международными организациями, включая Интернационал Общественного Обслуживания (ИОО) и Европейскую федерацию профсоюзов общественного обслуживания (ЕФПОО), их исследовательские подразделения, родственные зарубежные профсоюзы;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>- рассмотреть вопрос о соответствии отдельных комитетов Профсоюза, регулярно не выполняющих решения съезда Профсоюза, пленумов и президиумов ЦК Профсоюза, статусу  областных и республиканских комитетов.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3. Утвердить Программный документ Общероссийского профсоюза работников жизнеобеспечения на 2019-2024 годы «За социальный диалог и достойный труда» (прилагается). Направить его территориальным организациям Профсоюза для использования в практической работе, разработать планы мероприятий по реализации постановлений Х съезда ФНПР и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7798">
        <w:rPr>
          <w:rFonts w:ascii="Times New Roman" w:hAnsi="Times New Roman" w:cs="Times New Roman"/>
          <w:sz w:val="28"/>
          <w:szCs w:val="28"/>
        </w:rPr>
        <w:t xml:space="preserve"> съезда Профсоюза. Информацию о выполнении данного поручения съезда направить в ЦК Профсоюза до 01.10.2019.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4. Одобрить и направить Президенту РФ, Федеральному Собранию РФ, Правительству РФ Обращение делегатов и участников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7798">
        <w:rPr>
          <w:rFonts w:ascii="Times New Roman" w:hAnsi="Times New Roman" w:cs="Times New Roman"/>
          <w:sz w:val="28"/>
          <w:szCs w:val="28"/>
        </w:rPr>
        <w:t xml:space="preserve"> съезда Профсоюза по основным проблемам объединяемых отраслей </w:t>
      </w:r>
      <w:r w:rsidRPr="004E7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(прилагается).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5. Принять Воззвание </w:t>
      </w:r>
      <w:r w:rsidRPr="004E77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7798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работников жизнеобеспечения «За единство действий и международную солидарность профсоюзов в борьбе за мир» и направить его Интернационалу Общественного Обслуживания (ИОО), Европейской федерации профсоюзов общественного обслуживания (ЕФПОО) и Федерации Независимых Профсоюзов России</w:t>
      </w:r>
      <w:r w:rsidR="00670F21">
        <w:rPr>
          <w:rFonts w:ascii="Times New Roman" w:hAnsi="Times New Roman" w:cs="Times New Roman"/>
          <w:sz w:val="28"/>
          <w:szCs w:val="28"/>
        </w:rPr>
        <w:t xml:space="preserve"> </w:t>
      </w:r>
      <w:r w:rsidRPr="004E77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(прилагается).</w:t>
      </w: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7798" w:rsidRPr="004E7798" w:rsidRDefault="004E7798" w:rsidP="0067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798">
        <w:rPr>
          <w:rFonts w:ascii="Times New Roman" w:hAnsi="Times New Roman" w:cs="Times New Roman"/>
          <w:sz w:val="28"/>
          <w:szCs w:val="28"/>
        </w:rPr>
        <w:t xml:space="preserve">6. Возложить </w:t>
      </w:r>
      <w:proofErr w:type="gramStart"/>
      <w:r w:rsidRPr="004E7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7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на Президиум ЦК Профсоюза.</w:t>
      </w:r>
    </w:p>
    <w:p w:rsidR="004E7798" w:rsidRDefault="004E7798" w:rsidP="00670F2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670F21" w:rsidRPr="00670F21" w:rsidRDefault="00670F21" w:rsidP="00670F21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670F21" w:rsidRDefault="00670F21" w:rsidP="0067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F21">
        <w:rPr>
          <w:rFonts w:ascii="Times New Roman" w:hAnsi="Times New Roman" w:cs="Times New Roman"/>
          <w:sz w:val="28"/>
          <w:szCs w:val="28"/>
        </w:rPr>
        <w:t>Председатель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А.Д. Василевский</w:t>
      </w:r>
    </w:p>
    <w:p w:rsidR="00670F21" w:rsidRPr="00670F21" w:rsidRDefault="00670F21" w:rsidP="0067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F21" w:rsidRPr="00E641B8" w:rsidRDefault="00670F21" w:rsidP="004E7798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4E7798" w:rsidRPr="004E7798" w:rsidRDefault="004E7798" w:rsidP="004E7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18D0" w:rsidRPr="004E7798" w:rsidRDefault="00BD18D0" w:rsidP="004E7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18D0" w:rsidRPr="004E7798" w:rsidSect="004E7798">
      <w:pgSz w:w="11906" w:h="16838"/>
      <w:pgMar w:top="851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98"/>
    <w:rsid w:val="0039115E"/>
    <w:rsid w:val="003F13C7"/>
    <w:rsid w:val="004E7798"/>
    <w:rsid w:val="004F0BDE"/>
    <w:rsid w:val="00670F21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979E-09B9-4E58-B8AF-5628D407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2019-07-10T11:48:00Z</dcterms:created>
  <dcterms:modified xsi:type="dcterms:W3CDTF">2019-07-10T11:48:00Z</dcterms:modified>
</cp:coreProperties>
</file>